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E7" w:rsidRPr="00B57DEF" w:rsidRDefault="00930A8C" w:rsidP="00CF7516">
      <w:pPr>
        <w:rPr>
          <w:vertAlign w:val="subscript"/>
        </w:rPr>
      </w:pPr>
      <w:r>
        <w:rPr>
          <w:noProof/>
          <w:lang w:eastAsia="en-US"/>
        </w:rPr>
        <w:drawing>
          <wp:anchor distT="0" distB="0" distL="114300" distR="114300" simplePos="0" relativeHeight="251657216" behindDoc="0" locked="0" layoutInCell="1" allowOverlap="1" wp14:anchorId="12D7EF9D" wp14:editId="01102558">
            <wp:simplePos x="0" y="0"/>
            <wp:positionH relativeFrom="column">
              <wp:posOffset>3887470</wp:posOffset>
            </wp:positionH>
            <wp:positionV relativeFrom="paragraph">
              <wp:posOffset>8692515</wp:posOffset>
            </wp:positionV>
            <wp:extent cx="2515870" cy="50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PB_CCF_logo.psd"/>
                    <pic:cNvPicPr/>
                  </pic:nvPicPr>
                  <pic:blipFill>
                    <a:blip r:embed="rId6">
                      <a:extLst>
                        <a:ext uri="{28A0092B-C50C-407E-A947-70E740481C1C}">
                          <a14:useLocalDpi xmlns:a14="http://schemas.microsoft.com/office/drawing/2010/main" val="0"/>
                        </a:ext>
                      </a:extLst>
                    </a:blip>
                    <a:stretch>
                      <a:fillRect/>
                    </a:stretch>
                  </pic:blipFill>
                  <pic:spPr>
                    <a:xfrm>
                      <a:off x="0" y="0"/>
                      <a:ext cx="2515870" cy="508000"/>
                    </a:xfrm>
                    <a:prstGeom prst="rect">
                      <a:avLst/>
                    </a:prstGeom>
                  </pic:spPr>
                </pic:pic>
              </a:graphicData>
            </a:graphic>
          </wp:anchor>
        </w:drawing>
      </w:r>
      <w:r>
        <w:rPr>
          <w:noProof/>
          <w:vertAlign w:val="subscript"/>
          <w:lang w:eastAsia="en-US"/>
        </w:rPr>
        <w:drawing>
          <wp:anchor distT="0" distB="0" distL="114300" distR="114300" simplePos="0" relativeHeight="251659264" behindDoc="0" locked="0" layoutInCell="1" allowOverlap="1" wp14:anchorId="6CD67336" wp14:editId="7A0EBFF2">
            <wp:simplePos x="0" y="0"/>
            <wp:positionH relativeFrom="column">
              <wp:posOffset>1602382</wp:posOffset>
            </wp:positionH>
            <wp:positionV relativeFrom="paragraph">
              <wp:posOffset>8625840</wp:posOffset>
            </wp:positionV>
            <wp:extent cx="1881840" cy="59391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W_3005-blk.eps"/>
                    <pic:cNvPicPr/>
                  </pic:nvPicPr>
                  <pic:blipFill>
                    <a:blip r:embed="rId7">
                      <a:extLst>
                        <a:ext uri="{28A0092B-C50C-407E-A947-70E740481C1C}">
                          <a14:useLocalDpi xmlns:a14="http://schemas.microsoft.com/office/drawing/2010/main" val="0"/>
                        </a:ext>
                      </a:extLst>
                    </a:blip>
                    <a:stretch>
                      <a:fillRect/>
                    </a:stretch>
                  </pic:blipFill>
                  <pic:spPr>
                    <a:xfrm>
                      <a:off x="0" y="0"/>
                      <a:ext cx="1881840" cy="593918"/>
                    </a:xfrm>
                    <a:prstGeom prst="rect">
                      <a:avLst/>
                    </a:prstGeom>
                  </pic:spPr>
                </pic:pic>
              </a:graphicData>
            </a:graphic>
          </wp:anchor>
        </w:drawing>
      </w:r>
      <w:r>
        <w:rPr>
          <w:noProof/>
          <w:lang w:eastAsia="en-US"/>
        </w:rPr>
        <w:pict>
          <v:shapetype id="_x0000_t202" coordsize="21600,21600" o:spt="202" path="m,l,21600r21600,l21600,xe">
            <v:stroke joinstyle="miter"/>
            <v:path gradientshapeok="t" o:connecttype="rect"/>
          </v:shapetype>
          <v:shape id="_x0000_s1029" type="#_x0000_t202" style="position:absolute;margin-left:189.9pt;margin-top:755.3pt;width:230.6pt;height:16.6pt;z-index:251664384;mso-height-percent:200;mso-position-horizontal-relative:text;mso-position-vertical-relative:text;mso-height-percent:200;mso-width-relative:margin;mso-height-relative:margin" filled="f" stroked="f">
            <v:textbox style="mso-next-textbox:#_x0000_s1029;mso-fit-shape-to-text:t">
              <w:txbxContent>
                <w:p w:rsidR="00811323" w:rsidRPr="00354B30" w:rsidRDefault="00811323" w:rsidP="00811323">
                  <w:pPr>
                    <w:rPr>
                      <w:sz w:val="16"/>
                      <w:szCs w:val="16"/>
                    </w:rPr>
                  </w:pPr>
                  <w:r w:rsidRPr="00354B30">
                    <w:rPr>
                      <w:sz w:val="16"/>
                      <w:szCs w:val="16"/>
                    </w:rPr>
                    <w:t>©2013 Children’s Hospital of Wisconsin. All rights reserved.</w:t>
                  </w:r>
                </w:p>
              </w:txbxContent>
            </v:textbox>
          </v:shape>
        </w:pict>
      </w:r>
      <w:r>
        <w:rPr>
          <w:noProof/>
          <w:lang w:eastAsia="en-US"/>
        </w:rPr>
        <w:pict>
          <v:shape id="Text Box 2" o:spid="_x0000_s1027" type="#_x0000_t202" style="position:absolute;margin-left:40.05pt;margin-top:135.2pt;width:531pt;height:503.5pt;z-index:251659264;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ZByM4CAAAP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" filled="f" stroked="f">
            <v:textbox style="mso-next-textbox:#Text Box 2">
              <w:txbxContent>
                <w:p w:rsidR="002D22CD" w:rsidRPr="00BE15E0" w:rsidRDefault="002D22CD" w:rsidP="002D22CD">
                  <w:pPr>
                    <w:pStyle w:val="Title"/>
                    <w:spacing w:before="0"/>
                    <w:rPr>
                      <w:sz w:val="44"/>
                      <w:szCs w:val="44"/>
                    </w:rPr>
                  </w:pPr>
                  <w:r w:rsidRPr="00BE15E0">
                    <w:rPr>
                      <w:sz w:val="44"/>
                      <w:szCs w:val="44"/>
                    </w:rPr>
                    <w:t>How to talk to children about healthy sexual development</w:t>
                  </w:r>
                </w:p>
                <w:p w:rsidR="002D22CD" w:rsidRPr="002D3937" w:rsidRDefault="002D22CD" w:rsidP="002D22CD">
                  <w:pPr>
                    <w:pStyle w:val="Subtitle"/>
                    <w:spacing w:before="120" w:after="0"/>
                    <w:rPr>
                      <w:b/>
                    </w:rPr>
                  </w:pPr>
                  <w:r>
                    <w:rPr>
                      <w:b/>
                    </w:rPr>
                    <w:t>middle childhood</w:t>
                  </w:r>
                  <w:r w:rsidRPr="002D3937">
                    <w:rPr>
                      <w:b/>
                    </w:rPr>
                    <w:t xml:space="preserve"> (</w:t>
                  </w:r>
                  <w:r>
                    <w:rPr>
                      <w:b/>
                    </w:rPr>
                    <w:t>5-8</w:t>
                  </w:r>
                  <w:r w:rsidRPr="002D3937">
                    <w:rPr>
                      <w:b/>
                    </w:rPr>
                    <w:t xml:space="preserve"> years old) </w:t>
                  </w:r>
                </w:p>
                <w:p w:rsidR="002D22CD" w:rsidRPr="00BE15E0" w:rsidRDefault="002D22CD" w:rsidP="002D22CD">
                  <w:pPr>
                    <w:spacing w:before="120"/>
                    <w:rPr>
                      <w:rFonts w:ascii="Arial" w:hAnsi="Arial" w:cs="Arial"/>
                      <w:color w:val="000000"/>
                      <w:sz w:val="20"/>
                    </w:rPr>
                  </w:pPr>
                  <w:r w:rsidRPr="00BE15E0">
                    <w:rPr>
                      <w:sz w:val="20"/>
                    </w:rPr>
                    <w:t>Keeping the line</w:t>
                  </w:r>
                  <w:r>
                    <w:rPr>
                      <w:sz w:val="20"/>
                    </w:rPr>
                    <w:t>s</w:t>
                  </w:r>
                  <w:r w:rsidRPr="00BE15E0">
                    <w:rPr>
                      <w:sz w:val="20"/>
                    </w:rPr>
                    <w:t xml:space="preserve"> of communication open with your children – regardless of their age – will help you have open and honest discussion</w:t>
                  </w:r>
                  <w:r>
                    <w:rPr>
                      <w:sz w:val="20"/>
                    </w:rPr>
                    <w:t>s</w:t>
                  </w:r>
                  <w:r w:rsidRPr="00BE15E0">
                    <w:rPr>
                      <w:sz w:val="20"/>
                    </w:rPr>
                    <w:t xml:space="preserve"> about sexuality.  Take some time to understand your own values, feelings and beliefs.  Remember, children learn by observation, so how you express yourself non-verbally is just as important as what you say to them.</w:t>
                  </w:r>
                </w:p>
                <w:p w:rsidR="002D22CD" w:rsidRPr="007E1F1C" w:rsidRDefault="002D22CD" w:rsidP="002D22CD">
                  <w:pPr>
                    <w:pStyle w:val="Heading1"/>
                    <w:rPr>
                      <w:rFonts w:eastAsia="Times New Roman"/>
                    </w:rPr>
                  </w:pPr>
                  <w:r w:rsidRPr="007E1F1C">
                    <w:rPr>
                      <w:rFonts w:eastAsia="Times New Roman"/>
                    </w:rPr>
                    <w:t>Healthy Behavior</w:t>
                  </w:r>
                </w:p>
                <w:p w:rsidR="002D22CD" w:rsidRPr="00A0182C" w:rsidRDefault="002D22CD" w:rsidP="002D22CD">
                  <w:pPr>
                    <w:pStyle w:val="ListParagraph"/>
                    <w:numPr>
                      <w:ilvl w:val="0"/>
                      <w:numId w:val="2"/>
                    </w:numPr>
                    <w:rPr>
                      <w:rFonts w:eastAsia="Times New Roman"/>
                    </w:rPr>
                  </w:pPr>
                  <w:r w:rsidRPr="00A0182C">
                    <w:rPr>
                      <w:rFonts w:eastAsia="Times New Roman"/>
                    </w:rPr>
                    <w:t>Gender identity solidifies and stabilizes (understand physical, behavioral, and emotional distinctions between males and females)</w:t>
                  </w:r>
                </w:p>
                <w:p w:rsidR="002D22CD" w:rsidRPr="00A0182C" w:rsidRDefault="002D22CD" w:rsidP="002D22CD">
                  <w:pPr>
                    <w:pStyle w:val="ListParagraph"/>
                    <w:numPr>
                      <w:ilvl w:val="0"/>
                      <w:numId w:val="2"/>
                    </w:numPr>
                    <w:rPr>
                      <w:rFonts w:eastAsia="Times New Roman"/>
                    </w:rPr>
                  </w:pPr>
                  <w:r w:rsidRPr="00A0182C">
                    <w:rPr>
                      <w:rFonts w:eastAsia="Times New Roman"/>
                    </w:rPr>
                    <w:t>Should have basic understanding of puberty (some children, especially girls, will show early signs of puberty)</w:t>
                  </w:r>
                </w:p>
                <w:p w:rsidR="002D22CD" w:rsidRPr="00A0182C" w:rsidRDefault="002D22CD" w:rsidP="002D22CD">
                  <w:pPr>
                    <w:pStyle w:val="ListParagraph"/>
                    <w:numPr>
                      <w:ilvl w:val="0"/>
                      <w:numId w:val="2"/>
                    </w:numPr>
                    <w:rPr>
                      <w:rFonts w:eastAsia="Times New Roman"/>
                    </w:rPr>
                  </w:pPr>
                  <w:r w:rsidRPr="00A0182C">
                    <w:rPr>
                      <w:rFonts w:eastAsia="Times New Roman"/>
                    </w:rPr>
                    <w:t>Should have basic understanding of human reproduction</w:t>
                  </w:r>
                </w:p>
                <w:p w:rsidR="002D22CD" w:rsidRPr="00A0182C" w:rsidRDefault="002D22CD" w:rsidP="002D22CD">
                  <w:pPr>
                    <w:pStyle w:val="ListParagraph"/>
                    <w:numPr>
                      <w:ilvl w:val="0"/>
                      <w:numId w:val="2"/>
                    </w:numPr>
                    <w:rPr>
                      <w:rFonts w:eastAsia="Times New Roman"/>
                    </w:rPr>
                  </w:pPr>
                  <w:r w:rsidRPr="00A0182C">
                    <w:rPr>
                      <w:rFonts w:eastAsia="Times New Roman"/>
                    </w:rPr>
                    <w:t>May understand differences in sexual orientation</w:t>
                  </w:r>
                </w:p>
                <w:p w:rsidR="002D22CD" w:rsidRPr="00A0182C" w:rsidRDefault="002D22CD" w:rsidP="002D22CD">
                  <w:pPr>
                    <w:pStyle w:val="ListParagraph"/>
                    <w:numPr>
                      <w:ilvl w:val="0"/>
                      <w:numId w:val="2"/>
                    </w:numPr>
                    <w:rPr>
                      <w:rFonts w:eastAsia="Times New Roman"/>
                    </w:rPr>
                  </w:pPr>
                  <w:r w:rsidRPr="00A0182C">
                    <w:rPr>
                      <w:rFonts w:eastAsia="Times New Roman"/>
                    </w:rPr>
                    <w:t>May masturbate in private</w:t>
                  </w:r>
                </w:p>
                <w:p w:rsidR="002D22CD" w:rsidRPr="00A0182C" w:rsidRDefault="002D22CD" w:rsidP="002D22CD">
                  <w:pPr>
                    <w:pStyle w:val="ListParagraph"/>
                    <w:numPr>
                      <w:ilvl w:val="0"/>
                      <w:numId w:val="2"/>
                    </w:numPr>
                    <w:rPr>
                      <w:rFonts w:eastAsia="Times New Roman"/>
                    </w:rPr>
                  </w:pPr>
                  <w:r w:rsidRPr="00A0182C">
                    <w:rPr>
                      <w:rFonts w:eastAsia="Times New Roman"/>
                    </w:rPr>
                    <w:t>Will develop more stable friendships</w:t>
                  </w:r>
                </w:p>
                <w:p w:rsidR="002D22CD" w:rsidRPr="00A0182C" w:rsidRDefault="002D22CD" w:rsidP="002D22CD">
                  <w:pPr>
                    <w:pStyle w:val="ListParagraph"/>
                    <w:numPr>
                      <w:ilvl w:val="0"/>
                      <w:numId w:val="2"/>
                    </w:numPr>
                    <w:rPr>
                      <w:rFonts w:eastAsia="Times New Roman"/>
                    </w:rPr>
                  </w:pPr>
                  <w:r w:rsidRPr="00A0182C">
                    <w:rPr>
                      <w:rFonts w:eastAsia="Times New Roman"/>
                    </w:rPr>
                    <w:t>May engage in consensual genital exploration with same age (and often, same sex) peers</w:t>
                  </w:r>
                </w:p>
                <w:p w:rsidR="002D22CD" w:rsidRPr="00A0182C" w:rsidRDefault="002D22CD" w:rsidP="002D22CD">
                  <w:pPr>
                    <w:pStyle w:val="ListParagraph"/>
                    <w:numPr>
                      <w:ilvl w:val="0"/>
                      <w:numId w:val="2"/>
                    </w:numPr>
                    <w:rPr>
                      <w:rFonts w:eastAsia="Times New Roman"/>
                    </w:rPr>
                  </w:pPr>
                  <w:r w:rsidRPr="00A0182C">
                    <w:rPr>
                      <w:rFonts w:eastAsia="Times New Roman"/>
                    </w:rPr>
                    <w:t xml:space="preserve">Will begin to be modest about nudity </w:t>
                  </w:r>
                </w:p>
                <w:p w:rsidR="002D22CD" w:rsidRPr="007E1F1C" w:rsidRDefault="002D22CD" w:rsidP="002D22CD">
                  <w:pPr>
                    <w:pStyle w:val="Heading1"/>
                    <w:rPr>
                      <w:rFonts w:eastAsia="Times New Roman"/>
                    </w:rPr>
                  </w:pPr>
                  <w:r w:rsidRPr="007E1F1C">
                    <w:rPr>
                      <w:rFonts w:eastAsia="Times New Roman"/>
                    </w:rPr>
                    <w:t>Tips for Facilitating Healthy Sexual Development</w:t>
                  </w:r>
                </w:p>
                <w:p w:rsidR="002D22CD" w:rsidRPr="00A0182C" w:rsidRDefault="002D22CD" w:rsidP="002D22CD">
                  <w:pPr>
                    <w:pStyle w:val="ListParagraph"/>
                    <w:numPr>
                      <w:ilvl w:val="0"/>
                      <w:numId w:val="1"/>
                    </w:numPr>
                    <w:rPr>
                      <w:rFonts w:eastAsia="Times New Roman"/>
                    </w:rPr>
                  </w:pPr>
                  <w:r>
                    <w:rPr>
                      <w:rFonts w:eastAsia="Times New Roman"/>
                    </w:rPr>
                    <w:t>Child should respect other’s boundaries/privacy and have their boundaries/privacy respected in return.</w:t>
                  </w:r>
                </w:p>
                <w:p w:rsidR="002D22CD" w:rsidRPr="00A0182C" w:rsidRDefault="002D22CD" w:rsidP="002D22CD">
                  <w:pPr>
                    <w:pStyle w:val="ListParagraph"/>
                    <w:numPr>
                      <w:ilvl w:val="0"/>
                      <w:numId w:val="1"/>
                    </w:numPr>
                    <w:rPr>
                      <w:rFonts w:eastAsia="Times New Roman"/>
                    </w:rPr>
                  </w:pPr>
                  <w:r>
                    <w:rPr>
                      <w:rFonts w:eastAsia="Times New Roman"/>
                    </w:rPr>
                    <w:t>Talk with your child about your family values and why they are important.</w:t>
                  </w:r>
                </w:p>
                <w:p w:rsidR="002D22CD" w:rsidRPr="00A0182C" w:rsidRDefault="002D22CD" w:rsidP="002D22CD">
                  <w:pPr>
                    <w:pStyle w:val="ListParagraph"/>
                    <w:numPr>
                      <w:ilvl w:val="0"/>
                      <w:numId w:val="1"/>
                    </w:numPr>
                    <w:rPr>
                      <w:rFonts w:eastAsia="Times New Roman"/>
                    </w:rPr>
                  </w:pPr>
                  <w:r w:rsidRPr="00A0182C">
                    <w:rPr>
                      <w:rFonts w:eastAsia="Times New Roman"/>
                    </w:rPr>
                    <w:t>Talking with child about bodily responses, especially those that are precursors to sexual response (e.g., “it feels good to touch one’s body), and about what is and is not appropriate during peer interaction</w:t>
                  </w:r>
                </w:p>
                <w:p w:rsidR="002D22CD" w:rsidRPr="00A0182C" w:rsidRDefault="002D22CD" w:rsidP="002D22CD">
                  <w:pPr>
                    <w:pStyle w:val="ListParagraph"/>
                    <w:numPr>
                      <w:ilvl w:val="0"/>
                      <w:numId w:val="1"/>
                    </w:numPr>
                    <w:rPr>
                      <w:rFonts w:eastAsia="Times New Roman"/>
                    </w:rPr>
                  </w:pPr>
                  <w:r w:rsidRPr="00A0182C">
                    <w:rPr>
                      <w:rFonts w:eastAsia="Times New Roman"/>
                    </w:rPr>
                    <w:t>Modeling healthy, intimate adult relationships characterized by effective communication</w:t>
                  </w:r>
                </w:p>
                <w:p w:rsidR="002D22CD" w:rsidRPr="00A0182C" w:rsidRDefault="002D22CD" w:rsidP="002D22CD">
                  <w:pPr>
                    <w:pStyle w:val="ListParagraph"/>
                    <w:numPr>
                      <w:ilvl w:val="0"/>
                      <w:numId w:val="1"/>
                    </w:numPr>
                    <w:rPr>
                      <w:rFonts w:eastAsia="Times New Roman"/>
                    </w:rPr>
                  </w:pPr>
                  <w:r w:rsidRPr="00A0182C">
                    <w:rPr>
                      <w:rFonts w:eastAsia="Times New Roman"/>
                    </w:rPr>
                    <w:t>Teaching child about male and female puberty (by 7-8 years old)</w:t>
                  </w:r>
                </w:p>
                <w:p w:rsidR="002D22CD" w:rsidRPr="000428D4" w:rsidRDefault="002D22CD" w:rsidP="002D22CD">
                  <w:pPr>
                    <w:pStyle w:val="ListParagraph"/>
                    <w:numPr>
                      <w:ilvl w:val="0"/>
                      <w:numId w:val="1"/>
                    </w:numPr>
                  </w:pPr>
                  <w:r w:rsidRPr="00A0182C">
                    <w:rPr>
                      <w:rFonts w:eastAsia="Times New Roman"/>
                    </w:rPr>
                    <w:t>Using everyday opportunities to teach child about sexuality, even the mechanics of reproduction (children should know the “birds and the bees” by no later than 9 years old—It’s important to know that research shows that children whose parents talk with them about sexuality are less likely to become sexually active at an early age)</w:t>
                  </w:r>
                </w:p>
                <w:p w:rsidR="002D22CD" w:rsidRDefault="002D22CD" w:rsidP="002D22CD"/>
                <w:p w:rsidR="00CF7516" w:rsidRPr="00CF7516" w:rsidRDefault="00CF7516" w:rsidP="00916412">
                  <w:pPr>
                    <w:rPr>
                      <w:rFonts w:ascii="Arial" w:hAnsi="Arial" w:cs="Arial"/>
                      <w:sz w:val="36"/>
                      <w:szCs w:val="36"/>
                    </w:rPr>
                  </w:pPr>
                </w:p>
              </w:txbxContent>
            </v:textbox>
          </v:shape>
        </w:pict>
      </w:r>
      <w:bookmarkStart w:id="0" w:name="_GoBack"/>
      <w:r w:rsidR="00A258E1">
        <w:rPr>
          <w:noProof/>
          <w:lang w:eastAsia="en-US"/>
        </w:rPr>
        <w:drawing>
          <wp:anchor distT="0" distB="0" distL="114300" distR="114300" simplePos="0" relativeHeight="251660288" behindDoc="1" locked="0" layoutInCell="1" allowOverlap="1" wp14:anchorId="3EB37D1B" wp14:editId="06D342D0">
            <wp:simplePos x="0" y="0"/>
            <wp:positionH relativeFrom="column">
              <wp:posOffset>0</wp:posOffset>
            </wp:positionH>
            <wp:positionV relativeFrom="paragraph">
              <wp:posOffset>0</wp:posOffset>
            </wp:positionV>
            <wp:extent cx="7772400" cy="10058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template.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bookmarkEnd w:id="0"/>
    </w:p>
    <w:sectPr w:rsidR="002F55E7" w:rsidRPr="00B57DEF" w:rsidSect="00CF751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230"/>
    <w:multiLevelType w:val="hybridMultilevel"/>
    <w:tmpl w:val="465C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E2B72"/>
    <w:multiLevelType w:val="hybridMultilevel"/>
    <w:tmpl w:val="FA28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CF7516"/>
    <w:rsid w:val="001460CE"/>
    <w:rsid w:val="00183DD3"/>
    <w:rsid w:val="002D22CD"/>
    <w:rsid w:val="002F55E7"/>
    <w:rsid w:val="0031440A"/>
    <w:rsid w:val="00811323"/>
    <w:rsid w:val="00916412"/>
    <w:rsid w:val="00930A8C"/>
    <w:rsid w:val="00A258E1"/>
    <w:rsid w:val="00B02AF0"/>
    <w:rsid w:val="00B57DEF"/>
    <w:rsid w:val="00CF7516"/>
    <w:rsid w:val="00D3154F"/>
    <w:rsid w:val="00D91354"/>
    <w:rsid w:val="00F6226C"/>
    <w:rsid w:val="00FA22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5:docId w15:val="{AFAA5A94-EE94-4388-89E9-1C4DC549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CE"/>
    <w:rPr>
      <w:sz w:val="24"/>
    </w:rPr>
  </w:style>
  <w:style w:type="paragraph" w:styleId="Heading1">
    <w:name w:val="heading 1"/>
    <w:basedOn w:val="Normal"/>
    <w:next w:val="Normal"/>
    <w:link w:val="Heading1Char"/>
    <w:uiPriority w:val="9"/>
    <w:qFormat/>
    <w:rsid w:val="002D22C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b/>
      <w:bCs/>
      <w:caps/>
      <w:color w:val="FFFFFF" w:themeColor="background1"/>
      <w:spacing w:val="15"/>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516"/>
    <w:rPr>
      <w:rFonts w:ascii="Lucida Grande" w:hAnsi="Lucida Grande" w:cs="Lucida Grande"/>
      <w:sz w:val="18"/>
      <w:szCs w:val="18"/>
    </w:rPr>
  </w:style>
  <w:style w:type="character" w:customStyle="1" w:styleId="Heading1Char">
    <w:name w:val="Heading 1 Char"/>
    <w:basedOn w:val="DefaultParagraphFont"/>
    <w:link w:val="Heading1"/>
    <w:uiPriority w:val="9"/>
    <w:rsid w:val="002D22CD"/>
    <w:rPr>
      <w:b/>
      <w:bCs/>
      <w:caps/>
      <w:color w:val="FFFFFF" w:themeColor="background1"/>
      <w:spacing w:val="15"/>
      <w:sz w:val="22"/>
      <w:szCs w:val="22"/>
      <w:shd w:val="clear" w:color="auto" w:fill="4F81BD" w:themeFill="accent1"/>
      <w:lang w:eastAsia="en-US" w:bidi="en-US"/>
    </w:rPr>
  </w:style>
  <w:style w:type="paragraph" w:styleId="Title">
    <w:name w:val="Title"/>
    <w:basedOn w:val="Normal"/>
    <w:next w:val="Normal"/>
    <w:link w:val="TitleChar"/>
    <w:uiPriority w:val="10"/>
    <w:qFormat/>
    <w:rsid w:val="002D22CD"/>
    <w:pPr>
      <w:spacing w:before="720" w:after="200" w:line="276" w:lineRule="auto"/>
    </w:pPr>
    <w:rPr>
      <w: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2D22CD"/>
    <w:rPr>
      <w:caps/>
      <w:color w:val="4F81BD" w:themeColor="accent1"/>
      <w:spacing w:val="10"/>
      <w:kern w:val="28"/>
      <w:sz w:val="52"/>
      <w:szCs w:val="52"/>
      <w:lang w:eastAsia="en-US" w:bidi="en-US"/>
    </w:rPr>
  </w:style>
  <w:style w:type="paragraph" w:styleId="Subtitle">
    <w:name w:val="Subtitle"/>
    <w:basedOn w:val="Normal"/>
    <w:next w:val="Normal"/>
    <w:link w:val="SubtitleChar"/>
    <w:uiPriority w:val="11"/>
    <w:qFormat/>
    <w:rsid w:val="002D22CD"/>
    <w:pPr>
      <w:spacing w:before="200" w:after="1000"/>
    </w:pPr>
    <w:rPr>
      <w:caps/>
      <w:color w:val="595959" w:themeColor="text1" w:themeTint="A6"/>
      <w:spacing w:val="10"/>
      <w:szCs w:val="24"/>
      <w:lang w:eastAsia="en-US" w:bidi="en-US"/>
    </w:rPr>
  </w:style>
  <w:style w:type="character" w:customStyle="1" w:styleId="SubtitleChar">
    <w:name w:val="Subtitle Char"/>
    <w:basedOn w:val="DefaultParagraphFont"/>
    <w:link w:val="Subtitle"/>
    <w:uiPriority w:val="11"/>
    <w:rsid w:val="002D22CD"/>
    <w:rPr>
      <w:caps/>
      <w:color w:val="595959" w:themeColor="text1" w:themeTint="A6"/>
      <w:spacing w:val="10"/>
      <w:sz w:val="24"/>
      <w:szCs w:val="24"/>
      <w:lang w:eastAsia="en-US" w:bidi="en-US"/>
    </w:rPr>
  </w:style>
  <w:style w:type="paragraph" w:styleId="ListParagraph">
    <w:name w:val="List Paragraph"/>
    <w:basedOn w:val="Normal"/>
    <w:uiPriority w:val="34"/>
    <w:qFormat/>
    <w:rsid w:val="002D22CD"/>
    <w:pPr>
      <w:spacing w:before="200" w:after="200" w:line="276" w:lineRule="auto"/>
      <w:ind w:left="720"/>
      <w:contextualSpacing/>
    </w:pPr>
    <w:rPr>
      <w:sz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0EE696-CC7C-4365-8822-75704F0B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Hospital &amp; Health System</dc:creator>
  <cp:lastModifiedBy>Strehlow, Abby</cp:lastModifiedBy>
  <cp:revision>4</cp:revision>
  <dcterms:created xsi:type="dcterms:W3CDTF">2017-06-08T18:50:00Z</dcterms:created>
  <dcterms:modified xsi:type="dcterms:W3CDTF">2017-10-24T15:17:00Z</dcterms:modified>
</cp:coreProperties>
</file>