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5E7" w:rsidRPr="00B57DEF" w:rsidRDefault="00780A7B" w:rsidP="00CF7516">
      <w:pPr>
        <w:rPr>
          <w:vertAlign w:val="subscript"/>
        </w:rPr>
      </w:pPr>
      <w:r>
        <w:rPr>
          <w:noProof/>
          <w:lang w:eastAsia="en-US"/>
        </w:rPr>
        <w:drawing>
          <wp:anchor distT="0" distB="0" distL="114300" distR="114300" simplePos="0" relativeHeight="251656192" behindDoc="0" locked="0" layoutInCell="1" allowOverlap="1" wp14:anchorId="54A6C65A" wp14:editId="1D144CB4">
            <wp:simplePos x="0" y="0"/>
            <wp:positionH relativeFrom="column">
              <wp:posOffset>3792220</wp:posOffset>
            </wp:positionH>
            <wp:positionV relativeFrom="paragraph">
              <wp:posOffset>8978265</wp:posOffset>
            </wp:positionV>
            <wp:extent cx="2515870" cy="5080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NPB_CCF_logo.psd"/>
                    <pic:cNvPicPr/>
                  </pic:nvPicPr>
                  <pic:blipFill>
                    <a:blip r:embed="rId6">
                      <a:extLst>
                        <a:ext uri="{28A0092B-C50C-407E-A947-70E740481C1C}">
                          <a14:useLocalDpi xmlns:a14="http://schemas.microsoft.com/office/drawing/2010/main" val="0"/>
                        </a:ext>
                      </a:extLst>
                    </a:blip>
                    <a:stretch>
                      <a:fillRect/>
                    </a:stretch>
                  </pic:blipFill>
                  <pic:spPr>
                    <a:xfrm>
                      <a:off x="0" y="0"/>
                      <a:ext cx="2515870" cy="508000"/>
                    </a:xfrm>
                    <a:prstGeom prst="rect">
                      <a:avLst/>
                    </a:prstGeom>
                  </pic:spPr>
                </pic:pic>
              </a:graphicData>
            </a:graphic>
          </wp:anchor>
        </w:drawing>
      </w:r>
      <w:r>
        <w:rPr>
          <w:noProof/>
          <w:vertAlign w:val="subscript"/>
          <w:lang w:eastAsia="en-US"/>
        </w:rPr>
        <w:drawing>
          <wp:anchor distT="0" distB="0" distL="114300" distR="114300" simplePos="0" relativeHeight="251658240" behindDoc="0" locked="0" layoutInCell="1" allowOverlap="1" wp14:anchorId="6C3B6699" wp14:editId="3DDBF292">
            <wp:simplePos x="0" y="0"/>
            <wp:positionH relativeFrom="column">
              <wp:posOffset>1649730</wp:posOffset>
            </wp:positionH>
            <wp:positionV relativeFrom="paragraph">
              <wp:posOffset>8902065</wp:posOffset>
            </wp:positionV>
            <wp:extent cx="1881840" cy="593918"/>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HW_3005-blk.eps"/>
                    <pic:cNvPicPr/>
                  </pic:nvPicPr>
                  <pic:blipFill>
                    <a:blip r:embed="rId7">
                      <a:extLst>
                        <a:ext uri="{28A0092B-C50C-407E-A947-70E740481C1C}">
                          <a14:useLocalDpi xmlns:a14="http://schemas.microsoft.com/office/drawing/2010/main" val="0"/>
                        </a:ext>
                      </a:extLst>
                    </a:blip>
                    <a:stretch>
                      <a:fillRect/>
                    </a:stretch>
                  </pic:blipFill>
                  <pic:spPr>
                    <a:xfrm>
                      <a:off x="0" y="0"/>
                      <a:ext cx="1881840" cy="593918"/>
                    </a:xfrm>
                    <a:prstGeom prst="rect">
                      <a:avLst/>
                    </a:prstGeom>
                  </pic:spPr>
                </pic:pic>
              </a:graphicData>
            </a:graphic>
          </wp:anchor>
        </w:drawing>
      </w:r>
      <w:r>
        <w:rPr>
          <w:noProof/>
          <w:lang w:eastAsia="en-US"/>
        </w:rPr>
        <w:pict>
          <v:shapetype id="_x0000_t202" coordsize="21600,21600" o:spt="202" path="m,l,21600r21600,l21600,xe">
            <v:stroke joinstyle="miter"/>
            <v:path gradientshapeok="t" o:connecttype="rect"/>
          </v:shapetype>
          <v:shape id="_x0000_s1029" type="#_x0000_t202" style="position:absolute;margin-left:189.85pt;margin-top:755.3pt;width:230.6pt;height:16.6pt;z-index:251664384;mso-height-percent:200;mso-position-horizontal-relative:text;mso-position-vertical-relative:text;mso-height-percent:200;mso-width-relative:margin;mso-height-relative:margin" filled="f" stroked="f">
            <v:textbox style="mso-next-textbox:#_x0000_s1029;mso-fit-shape-to-text:t">
              <w:txbxContent>
                <w:p w:rsidR="00DE0E4D" w:rsidRPr="00354B30" w:rsidRDefault="00DE0E4D" w:rsidP="00DE0E4D">
                  <w:pPr>
                    <w:rPr>
                      <w:sz w:val="16"/>
                      <w:szCs w:val="16"/>
                    </w:rPr>
                  </w:pPr>
                  <w:r w:rsidRPr="00354B30">
                    <w:rPr>
                      <w:sz w:val="16"/>
                      <w:szCs w:val="16"/>
                    </w:rPr>
                    <w:t>©2013 Children’s Hospital of Wisconsin. All rights reserved.</w:t>
                  </w:r>
                </w:p>
              </w:txbxContent>
            </v:textbox>
          </v:shape>
        </w:pict>
      </w:r>
      <w:r>
        <w:rPr>
          <w:noProof/>
          <w:lang w:eastAsia="en-US"/>
        </w:rPr>
        <w:pict>
          <v:shape id="Text Box 2" o:spid="_x0000_s1027" type="#_x0000_t202" style="position:absolute;margin-left:40.05pt;margin-top:122.8pt;width:531pt;height:534.2pt;z-index:251659264;visibility:visible;mso-wrap-style:square;mso-wrap-distance-left:9pt;mso-wrap-distance-top:0;mso-wrap-distance-right:9pt;mso-wrap-distance-bottom:0;mso-position-horizontal:absolute;mso-position-horizontal-relative:text;mso-position-vertical:absolute;mso-position-vertical-relative:text;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" filled="f" stroked="f">
            <v:textbox style="mso-next-textbox:#Text Box 2">
              <w:txbxContent>
                <w:p w:rsidR="00055A68" w:rsidRDefault="00055A68" w:rsidP="00055A68">
                  <w:pPr>
                    <w:pStyle w:val="Title"/>
                    <w:spacing w:before="0"/>
                    <w:rPr>
                      <w:sz w:val="44"/>
                      <w:szCs w:val="44"/>
                    </w:rPr>
                  </w:pPr>
                  <w:r>
                    <w:rPr>
                      <w:sz w:val="44"/>
                      <w:szCs w:val="44"/>
                    </w:rPr>
                    <w:t>How to talk to children about healthy sexual development</w:t>
                  </w:r>
                </w:p>
                <w:p w:rsidR="00055A68" w:rsidRDefault="00055A68" w:rsidP="00055A68">
                  <w:pPr>
                    <w:pStyle w:val="Subtitle"/>
                    <w:spacing w:before="120" w:after="0"/>
                    <w:rPr>
                      <w:b/>
                    </w:rPr>
                  </w:pPr>
                  <w:r>
                    <w:rPr>
                      <w:b/>
                    </w:rPr>
                    <w:t xml:space="preserve">all ages </w:t>
                  </w:r>
                </w:p>
                <w:p w:rsidR="00055A68" w:rsidRDefault="00055A68" w:rsidP="00055A68">
                  <w:pPr>
                    <w:spacing w:before="120"/>
                    <w:rPr>
                      <w:rFonts w:ascii="Arial" w:hAnsi="Arial" w:cs="Arial"/>
                      <w:color w:val="000000"/>
                      <w:sz w:val="20"/>
                    </w:rPr>
                  </w:pPr>
                  <w:r>
                    <w:rPr>
                      <w:sz w:val="20"/>
                    </w:rPr>
                    <w:t>Keeping the lines of communication open with your children – regardless of their age – will help you have open and honest discussions about sexuality.  Take some time to understand your own values, feelings and beliefs.  Remember, children learn by observation, so how you express yourself non-verbally is just as important as what you say to them.</w:t>
                  </w:r>
                </w:p>
                <w:p w:rsidR="00055A68" w:rsidRDefault="00055A68" w:rsidP="00055A68">
                  <w:pPr>
                    <w:pStyle w:val="Heading1"/>
                    <w:rPr>
                      <w:rFonts w:eastAsiaTheme="minorEastAsia"/>
                    </w:rPr>
                  </w:pPr>
                  <w:r>
                    <w:rPr>
                      <w:rFonts w:eastAsiaTheme="minorEastAsia"/>
                    </w:rPr>
                    <w:t>Early childhood (birth - 3 years)</w:t>
                  </w:r>
                </w:p>
                <w:p w:rsidR="00055A68" w:rsidRDefault="00055A68" w:rsidP="00055A68">
                  <w:pPr>
                    <w:pStyle w:val="ListParagraph"/>
                    <w:numPr>
                      <w:ilvl w:val="0"/>
                      <w:numId w:val="1"/>
                    </w:numPr>
                    <w:rPr>
                      <w:rFonts w:eastAsia="Times New Roman"/>
                    </w:rPr>
                  </w:pPr>
                  <w:r>
                    <w:rPr>
                      <w:rFonts w:eastAsia="Times New Roman"/>
                    </w:rPr>
                    <w:t>Teach children the correct terms for body parts.</w:t>
                  </w:r>
                </w:p>
                <w:p w:rsidR="00055A68" w:rsidRDefault="00055A68" w:rsidP="00055A68">
                  <w:pPr>
                    <w:pStyle w:val="ListParagraph"/>
                    <w:numPr>
                      <w:ilvl w:val="0"/>
                      <w:numId w:val="1"/>
                    </w:numPr>
                    <w:rPr>
                      <w:rFonts w:eastAsia="Times New Roman"/>
                    </w:rPr>
                  </w:pPr>
                  <w:r>
                    <w:rPr>
                      <w:rFonts w:eastAsia="Times New Roman"/>
                    </w:rPr>
                    <w:t>Teach children that you will respect their wishes regarding their body. For example, when they ask you to stop tickling, you stop.</w:t>
                  </w:r>
                </w:p>
                <w:p w:rsidR="00055A68" w:rsidRDefault="00055A68" w:rsidP="00055A68">
                  <w:pPr>
                    <w:pStyle w:val="ListParagraph"/>
                    <w:numPr>
                      <w:ilvl w:val="0"/>
                      <w:numId w:val="1"/>
                    </w:numPr>
                    <w:rPr>
                      <w:rFonts w:eastAsia="Times New Roman"/>
                    </w:rPr>
                  </w:pPr>
                  <w:r>
                    <w:rPr>
                      <w:rFonts w:eastAsia="Times New Roman"/>
                    </w:rPr>
                    <w:t>Begin talking about boundaries and privacy.</w:t>
                  </w:r>
                </w:p>
                <w:p w:rsidR="00055A68" w:rsidRDefault="00055A68" w:rsidP="00055A68">
                  <w:pPr>
                    <w:pStyle w:val="Heading1"/>
                    <w:rPr>
                      <w:rFonts w:eastAsiaTheme="minorHAnsi"/>
                    </w:rPr>
                  </w:pPr>
                  <w:r>
                    <w:rPr>
                      <w:rFonts w:eastAsiaTheme="minorEastAsia"/>
                    </w:rPr>
                    <w:t>Late childhood (4-8 years)</w:t>
                  </w:r>
                </w:p>
                <w:p w:rsidR="00055A68" w:rsidRDefault="00055A68" w:rsidP="00055A68">
                  <w:pPr>
                    <w:pStyle w:val="ListParagraph"/>
                    <w:numPr>
                      <w:ilvl w:val="0"/>
                      <w:numId w:val="2"/>
                    </w:numPr>
                    <w:rPr>
                      <w:rFonts w:eastAsia="Times New Roman"/>
                    </w:rPr>
                  </w:pPr>
                  <w:r>
                    <w:rPr>
                      <w:rFonts w:eastAsia="Times New Roman"/>
                    </w:rPr>
                    <w:t>Encourage children to use correct terminology to describe genitalia.</w:t>
                  </w:r>
                </w:p>
                <w:p w:rsidR="00055A68" w:rsidRDefault="00055A68" w:rsidP="00055A68">
                  <w:pPr>
                    <w:pStyle w:val="ListParagraph"/>
                    <w:numPr>
                      <w:ilvl w:val="0"/>
                      <w:numId w:val="2"/>
                    </w:numPr>
                    <w:rPr>
                      <w:rFonts w:eastAsia="Times New Roman"/>
                    </w:rPr>
                  </w:pPr>
                  <w:r>
                    <w:rPr>
                      <w:rFonts w:eastAsia="Times New Roman"/>
                    </w:rPr>
                    <w:t>Teach children the difference between safe and unsafe touch.</w:t>
                  </w:r>
                </w:p>
                <w:p w:rsidR="00055A68" w:rsidRDefault="00055A68" w:rsidP="00055A68">
                  <w:pPr>
                    <w:pStyle w:val="ListParagraph"/>
                    <w:numPr>
                      <w:ilvl w:val="0"/>
                      <w:numId w:val="2"/>
                    </w:numPr>
                    <w:rPr>
                      <w:rFonts w:eastAsia="Times New Roman"/>
                    </w:rPr>
                  </w:pPr>
                  <w:r>
                    <w:rPr>
                      <w:rFonts w:eastAsia="Times New Roman"/>
                    </w:rPr>
                    <w:t>Do not force physical contact with a child.</w:t>
                  </w:r>
                </w:p>
                <w:p w:rsidR="00055A68" w:rsidRDefault="00055A68" w:rsidP="00055A68">
                  <w:pPr>
                    <w:pStyle w:val="ListParagraph"/>
                    <w:numPr>
                      <w:ilvl w:val="0"/>
                      <w:numId w:val="2"/>
                    </w:numPr>
                    <w:rPr>
                      <w:rFonts w:eastAsia="Times New Roman"/>
                    </w:rPr>
                  </w:pPr>
                  <w:r>
                    <w:rPr>
                      <w:rFonts w:eastAsia="Times New Roman"/>
                    </w:rPr>
                    <w:t>Give child permission to be private about his/her own nudity.</w:t>
                  </w:r>
                </w:p>
                <w:p w:rsidR="00055A68" w:rsidRDefault="00055A68" w:rsidP="00055A68">
                  <w:pPr>
                    <w:pStyle w:val="ListParagraph"/>
                    <w:numPr>
                      <w:ilvl w:val="0"/>
                      <w:numId w:val="2"/>
                    </w:numPr>
                    <w:rPr>
                      <w:rFonts w:eastAsia="Times New Roman"/>
                    </w:rPr>
                  </w:pPr>
                  <w:r>
                    <w:rPr>
                      <w:rFonts w:eastAsia="Times New Roman"/>
                    </w:rPr>
                    <w:t>Teach children that touching oneself is part of healthy sexual development, but should be done in private.</w:t>
                  </w:r>
                </w:p>
                <w:p w:rsidR="00055A68" w:rsidRDefault="00055A68" w:rsidP="00055A68">
                  <w:pPr>
                    <w:pStyle w:val="ListParagraph"/>
                    <w:numPr>
                      <w:ilvl w:val="0"/>
                      <w:numId w:val="2"/>
                    </w:numPr>
                    <w:rPr>
                      <w:rFonts w:eastAsia="Times New Roman"/>
                    </w:rPr>
                  </w:pPr>
                  <w:r>
                    <w:rPr>
                      <w:rFonts w:eastAsia="Times New Roman"/>
                    </w:rPr>
                    <w:t>Begin teaching the mechanics of reproduction and use terms easily understood by child. It is important to take the child’s lead in answering questions.</w:t>
                  </w:r>
                </w:p>
                <w:p w:rsidR="00055A68" w:rsidRDefault="00055A68" w:rsidP="00055A68">
                  <w:pPr>
                    <w:pStyle w:val="Heading1"/>
                    <w:rPr>
                      <w:rFonts w:eastAsiaTheme="minorHAnsi"/>
                    </w:rPr>
                  </w:pPr>
                  <w:r>
                    <w:rPr>
                      <w:rFonts w:eastAsiaTheme="minorEastAsia"/>
                    </w:rPr>
                    <w:t>Early adolescence (9-11 years)</w:t>
                  </w:r>
                </w:p>
                <w:p w:rsidR="00055A68" w:rsidRDefault="00055A68" w:rsidP="00055A68">
                  <w:pPr>
                    <w:pStyle w:val="ListParagraph"/>
                    <w:numPr>
                      <w:ilvl w:val="0"/>
                      <w:numId w:val="3"/>
                    </w:numPr>
                    <w:rPr>
                      <w:rFonts w:eastAsia="Times New Roman"/>
                    </w:rPr>
                  </w:pPr>
                  <w:r>
                    <w:rPr>
                      <w:rFonts w:eastAsia="Times New Roman"/>
                    </w:rPr>
                    <w:t>Be clear about respect for people's boundaries and need for privacy</w:t>
                  </w:r>
                </w:p>
                <w:p w:rsidR="00055A68" w:rsidRDefault="00055A68" w:rsidP="00055A68">
                  <w:pPr>
                    <w:pStyle w:val="ListParagraph"/>
                    <w:numPr>
                      <w:ilvl w:val="0"/>
                      <w:numId w:val="3"/>
                    </w:numPr>
                    <w:rPr>
                      <w:rFonts w:eastAsia="Times New Roman"/>
                    </w:rPr>
                  </w:pPr>
                  <w:r>
                    <w:rPr>
                      <w:rFonts w:eastAsia="Times New Roman"/>
                    </w:rPr>
                    <w:t>Talk about what is and is not appropriate during peer interaction.</w:t>
                  </w:r>
                </w:p>
                <w:p w:rsidR="00055A68" w:rsidRDefault="00055A68" w:rsidP="00055A68">
                  <w:pPr>
                    <w:pStyle w:val="ListParagraph"/>
                    <w:numPr>
                      <w:ilvl w:val="0"/>
                      <w:numId w:val="3"/>
                    </w:numPr>
                    <w:rPr>
                      <w:rFonts w:eastAsia="Times New Roman"/>
                    </w:rPr>
                  </w:pPr>
                  <w:r>
                    <w:rPr>
                      <w:rFonts w:eastAsia="Times New Roman"/>
                    </w:rPr>
                    <w:t>Talk about reproduction.</w:t>
                  </w:r>
                </w:p>
                <w:p w:rsidR="00055A68" w:rsidRDefault="00055A68" w:rsidP="00055A68">
                  <w:pPr>
                    <w:pStyle w:val="Heading1"/>
                    <w:rPr>
                      <w:rFonts w:eastAsiaTheme="minorHAnsi"/>
                    </w:rPr>
                  </w:pPr>
                  <w:r>
                    <w:rPr>
                      <w:rFonts w:eastAsiaTheme="minorEastAsia"/>
                    </w:rPr>
                    <w:t>Adolescence (12-18 years)</w:t>
                  </w:r>
                </w:p>
                <w:p w:rsidR="00055A68" w:rsidRDefault="00055A68" w:rsidP="00055A68">
                  <w:pPr>
                    <w:pStyle w:val="ListParagraph"/>
                    <w:numPr>
                      <w:ilvl w:val="0"/>
                      <w:numId w:val="4"/>
                    </w:numPr>
                    <w:rPr>
                      <w:rFonts w:eastAsia="Times New Roman"/>
                    </w:rPr>
                  </w:pPr>
                  <w:r>
                    <w:rPr>
                      <w:rFonts w:eastAsia="Times New Roman"/>
                    </w:rPr>
                    <w:t>Teens and preteens often spend a great deal of time wondering if they're "normal."  Help them to understand that "normal" for everyone is different.</w:t>
                  </w:r>
                </w:p>
                <w:p w:rsidR="00055A68" w:rsidRDefault="00055A68" w:rsidP="00055A68">
                  <w:pPr>
                    <w:pStyle w:val="ListParagraph"/>
                    <w:numPr>
                      <w:ilvl w:val="0"/>
                      <w:numId w:val="4"/>
                    </w:numPr>
                    <w:rPr>
                      <w:rFonts w:eastAsia="Times New Roman"/>
                    </w:rPr>
                  </w:pPr>
                  <w:r>
                    <w:rPr>
                      <w:rFonts w:eastAsia="Times New Roman"/>
                    </w:rPr>
                    <w:t>Tell your child what you believe in and why. Share your values.</w:t>
                  </w:r>
                </w:p>
                <w:p w:rsidR="00CF7516" w:rsidRPr="00CF7516" w:rsidRDefault="00CF7516" w:rsidP="00916412">
                  <w:pPr>
                    <w:rPr>
                      <w:rFonts w:ascii="Arial" w:hAnsi="Arial" w:cs="Arial"/>
                      <w:sz w:val="36"/>
                      <w:szCs w:val="36"/>
                    </w:rPr>
                  </w:pPr>
                </w:p>
              </w:txbxContent>
            </v:textbox>
          </v:shape>
        </w:pict>
      </w:r>
      <w:bookmarkStart w:id="0" w:name="_GoBack"/>
      <w:r w:rsidR="00A258E1">
        <w:rPr>
          <w:noProof/>
          <w:lang w:eastAsia="en-US"/>
        </w:rPr>
        <w:drawing>
          <wp:anchor distT="0" distB="0" distL="114300" distR="114300" simplePos="0" relativeHeight="251660288" behindDoc="1" locked="0" layoutInCell="1" allowOverlap="1" wp14:anchorId="39F58F99" wp14:editId="1C92C224">
            <wp:simplePos x="0" y="0"/>
            <wp:positionH relativeFrom="column">
              <wp:posOffset>0</wp:posOffset>
            </wp:positionH>
            <wp:positionV relativeFrom="paragraph">
              <wp:posOffset>0</wp:posOffset>
            </wp:positionV>
            <wp:extent cx="7772400" cy="1005840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 template.jpg"/>
                    <pic:cNvPicPr/>
                  </pic:nvPicPr>
                  <pic:blipFill>
                    <a:blip r:embed="rId8">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anchor>
        </w:drawing>
      </w:r>
      <w:bookmarkEnd w:id="0"/>
    </w:p>
    <w:sectPr w:rsidR="002F55E7" w:rsidRPr="00B57DEF" w:rsidSect="00CF7516">
      <w:pgSz w:w="12240" w:h="15840"/>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24915"/>
    <w:multiLevelType w:val="hybridMultilevel"/>
    <w:tmpl w:val="EB78F11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3155BB9"/>
    <w:multiLevelType w:val="hybridMultilevel"/>
    <w:tmpl w:val="202A5FF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A9F194F"/>
    <w:multiLevelType w:val="hybridMultilevel"/>
    <w:tmpl w:val="55FC02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530F2CB8"/>
    <w:multiLevelType w:val="hybridMultilevel"/>
    <w:tmpl w:val="9900360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2"/>
  </w:compat>
  <w:rsids>
    <w:rsidRoot w:val="00CF7516"/>
    <w:rsid w:val="00055A68"/>
    <w:rsid w:val="001A0806"/>
    <w:rsid w:val="002F55E7"/>
    <w:rsid w:val="0031440A"/>
    <w:rsid w:val="00780A7B"/>
    <w:rsid w:val="00916412"/>
    <w:rsid w:val="00A258E1"/>
    <w:rsid w:val="00A30B6C"/>
    <w:rsid w:val="00B02AF0"/>
    <w:rsid w:val="00B57DEF"/>
    <w:rsid w:val="00CF7516"/>
    <w:rsid w:val="00D3154F"/>
    <w:rsid w:val="00DE0E4D"/>
    <w:rsid w:val="00F6226C"/>
    <w:rsid w:val="00FA222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oNotEmbedSmartTags/>
  <w:decimalSymbol w:val="."/>
  <w:listSeparator w:val=","/>
  <w15:docId w15:val="{8351FC87-F68C-4267-BD35-A056399AD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B6C"/>
    <w:rPr>
      <w:sz w:val="24"/>
    </w:rPr>
  </w:style>
  <w:style w:type="paragraph" w:styleId="Heading1">
    <w:name w:val="heading 1"/>
    <w:basedOn w:val="Normal"/>
    <w:next w:val="Normal"/>
    <w:link w:val="Heading1Char"/>
    <w:uiPriority w:val="9"/>
    <w:qFormat/>
    <w:rsid w:val="00055A68"/>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line="276" w:lineRule="auto"/>
      <w:outlineLvl w:val="0"/>
    </w:pPr>
    <w:rPr>
      <w:rFonts w:eastAsia="Times New Roman" w:cs="Times New Roman"/>
      <w:b/>
      <w:bCs/>
      <w:caps/>
      <w:color w:val="FFFFFF" w:themeColor="background1"/>
      <w:spacing w:val="15"/>
      <w:sz w:val="22"/>
      <w:szCs w:val="22"/>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75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7516"/>
    <w:rPr>
      <w:rFonts w:ascii="Lucida Grande" w:hAnsi="Lucida Grande" w:cs="Lucida Grande"/>
      <w:sz w:val="18"/>
      <w:szCs w:val="18"/>
    </w:rPr>
  </w:style>
  <w:style w:type="character" w:customStyle="1" w:styleId="Heading1Char">
    <w:name w:val="Heading 1 Char"/>
    <w:basedOn w:val="DefaultParagraphFont"/>
    <w:link w:val="Heading1"/>
    <w:uiPriority w:val="9"/>
    <w:rsid w:val="00055A68"/>
    <w:rPr>
      <w:rFonts w:eastAsia="Times New Roman" w:cs="Times New Roman"/>
      <w:b/>
      <w:bCs/>
      <w:caps/>
      <w:color w:val="FFFFFF" w:themeColor="background1"/>
      <w:spacing w:val="15"/>
      <w:sz w:val="22"/>
      <w:szCs w:val="22"/>
      <w:shd w:val="clear" w:color="auto" w:fill="4F81BD" w:themeFill="accent1"/>
      <w:lang w:eastAsia="en-US" w:bidi="en-US"/>
    </w:rPr>
  </w:style>
  <w:style w:type="paragraph" w:styleId="Title">
    <w:name w:val="Title"/>
    <w:basedOn w:val="Normal"/>
    <w:next w:val="Normal"/>
    <w:link w:val="TitleChar"/>
    <w:uiPriority w:val="10"/>
    <w:qFormat/>
    <w:rsid w:val="00055A68"/>
    <w:pPr>
      <w:spacing w:before="720" w:after="200" w:line="276" w:lineRule="auto"/>
    </w:pPr>
    <w:rPr>
      <w:caps/>
      <w:color w:val="4F81BD" w:themeColor="accent1"/>
      <w:spacing w:val="10"/>
      <w:kern w:val="28"/>
      <w:sz w:val="52"/>
      <w:szCs w:val="52"/>
      <w:lang w:eastAsia="en-US" w:bidi="en-US"/>
    </w:rPr>
  </w:style>
  <w:style w:type="character" w:customStyle="1" w:styleId="TitleChar">
    <w:name w:val="Title Char"/>
    <w:basedOn w:val="DefaultParagraphFont"/>
    <w:link w:val="Title"/>
    <w:uiPriority w:val="10"/>
    <w:rsid w:val="00055A68"/>
    <w:rPr>
      <w:caps/>
      <w:color w:val="4F81BD" w:themeColor="accent1"/>
      <w:spacing w:val="10"/>
      <w:kern w:val="28"/>
      <w:sz w:val="52"/>
      <w:szCs w:val="52"/>
      <w:lang w:eastAsia="en-US" w:bidi="en-US"/>
    </w:rPr>
  </w:style>
  <w:style w:type="paragraph" w:styleId="Subtitle">
    <w:name w:val="Subtitle"/>
    <w:basedOn w:val="Normal"/>
    <w:next w:val="Normal"/>
    <w:link w:val="SubtitleChar"/>
    <w:uiPriority w:val="11"/>
    <w:qFormat/>
    <w:rsid w:val="00055A68"/>
    <w:pPr>
      <w:spacing w:before="200" w:after="1000"/>
    </w:pPr>
    <w:rPr>
      <w:caps/>
      <w:color w:val="595959" w:themeColor="text1" w:themeTint="A6"/>
      <w:spacing w:val="10"/>
      <w:szCs w:val="24"/>
      <w:lang w:eastAsia="en-US" w:bidi="en-US"/>
    </w:rPr>
  </w:style>
  <w:style w:type="character" w:customStyle="1" w:styleId="SubtitleChar">
    <w:name w:val="Subtitle Char"/>
    <w:basedOn w:val="DefaultParagraphFont"/>
    <w:link w:val="Subtitle"/>
    <w:uiPriority w:val="11"/>
    <w:rsid w:val="00055A68"/>
    <w:rPr>
      <w:caps/>
      <w:color w:val="595959" w:themeColor="text1" w:themeTint="A6"/>
      <w:spacing w:val="10"/>
      <w:sz w:val="24"/>
      <w:szCs w:val="24"/>
      <w:lang w:eastAsia="en-US" w:bidi="en-US"/>
    </w:rPr>
  </w:style>
  <w:style w:type="paragraph" w:styleId="ListParagraph">
    <w:name w:val="List Paragraph"/>
    <w:basedOn w:val="Normal"/>
    <w:uiPriority w:val="34"/>
    <w:qFormat/>
    <w:rsid w:val="00055A68"/>
    <w:pPr>
      <w:spacing w:before="200" w:after="200" w:line="276" w:lineRule="auto"/>
      <w:ind w:left="720"/>
      <w:contextualSpacing/>
    </w:pPr>
    <w:rPr>
      <w:sz w:val="20"/>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6184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252A01C-43E5-4DB5-8116-39295726B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Children's Hospital and Health System</Company>
  <LinksUpToDate>false</LinksUpToDate>
  <CharactersWithSpaces>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Children's Hospital &amp; Health System</dc:creator>
  <cp:lastModifiedBy>Strehlow, Abby</cp:lastModifiedBy>
  <cp:revision>3</cp:revision>
  <dcterms:created xsi:type="dcterms:W3CDTF">2017-06-08T18:49:00Z</dcterms:created>
  <dcterms:modified xsi:type="dcterms:W3CDTF">2017-10-24T15:19:00Z</dcterms:modified>
</cp:coreProperties>
</file>