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E7" w:rsidRPr="00B57DEF" w:rsidRDefault="001C1D4B" w:rsidP="00CF7516">
      <w:pPr>
        <w:rPr>
          <w:vertAlign w:val="subscript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66ACCCD9" wp14:editId="0E3B84B7">
            <wp:simplePos x="0" y="0"/>
            <wp:positionH relativeFrom="column">
              <wp:posOffset>3925570</wp:posOffset>
            </wp:positionH>
            <wp:positionV relativeFrom="paragraph">
              <wp:posOffset>8816340</wp:posOffset>
            </wp:positionV>
            <wp:extent cx="2515870" cy="508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PB_CCF_logo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vertAlign w:val="subscript"/>
          <w:lang w:eastAsia="en-US"/>
        </w:rPr>
        <w:drawing>
          <wp:anchor distT="0" distB="0" distL="114300" distR="114300" simplePos="0" relativeHeight="251660288" behindDoc="0" locked="0" layoutInCell="1" allowOverlap="1" wp14:anchorId="418EC482" wp14:editId="1D158DCA">
            <wp:simplePos x="0" y="0"/>
            <wp:positionH relativeFrom="column">
              <wp:posOffset>1678305</wp:posOffset>
            </wp:positionH>
            <wp:positionV relativeFrom="paragraph">
              <wp:posOffset>8702040</wp:posOffset>
            </wp:positionV>
            <wp:extent cx="1881840" cy="59391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W_3005-bl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40" cy="59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9638030</wp:posOffset>
                </wp:positionV>
                <wp:extent cx="2928620" cy="210820"/>
                <wp:effectExtent l="254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687" w:rsidRPr="00354B30" w:rsidRDefault="00D75687" w:rsidP="00D75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54B30">
                              <w:rPr>
                                <w:sz w:val="16"/>
                                <w:szCs w:val="16"/>
                              </w:rPr>
                              <w:t>©2013 Children’s Hospital of Wisconsin.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9.85pt;margin-top:758.9pt;width:230.6pt;height:16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6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Zqsz9DoFp/se3MwIx9Blx1T3d7L8qpGQq4aKLbtRSg4NoxVkF9qb/tnV&#10;CUdbkM3wQVYQhu6MdEBjrTpbOigGAnTo0uOpMzaVEg6jJIrnEZhKsEVhEM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" filled="f" stroked="f">
                <v:textbox style="mso-fit-shape-to-text:t">
                  <w:txbxContent>
                    <w:p w:rsidR="00D75687" w:rsidRPr="00354B30" w:rsidRDefault="00D75687" w:rsidP="00D75687">
                      <w:pPr>
                        <w:rPr>
                          <w:sz w:val="16"/>
                          <w:szCs w:val="16"/>
                        </w:rPr>
                      </w:pPr>
                      <w:r w:rsidRPr="00354B30">
                        <w:rPr>
                          <w:sz w:val="16"/>
                          <w:szCs w:val="16"/>
                        </w:rPr>
                        <w:t>©2013 Children’s Hospital of Wisconsin. All rights reserved.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1717040</wp:posOffset>
                </wp:positionV>
                <wp:extent cx="6743700" cy="629729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629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ED2" w:rsidRPr="00D10823" w:rsidRDefault="00440ED2" w:rsidP="00440ED2">
                            <w:pPr>
                              <w:pStyle w:val="Title"/>
                              <w:spacing w:before="0"/>
                              <w:rPr>
                                <w:sz w:val="44"/>
                                <w:szCs w:val="44"/>
                              </w:rPr>
                            </w:pPr>
                            <w:r w:rsidRPr="00D10823">
                              <w:rPr>
                                <w:sz w:val="44"/>
                                <w:szCs w:val="44"/>
                              </w:rPr>
                              <w:t>How to talk to children about healthy sexual development</w:t>
                            </w:r>
                          </w:p>
                          <w:p w:rsidR="00440ED2" w:rsidRPr="002D3937" w:rsidRDefault="00440ED2" w:rsidP="00440ED2">
                            <w:pPr>
                              <w:pStyle w:val="Subtitle"/>
                              <w:spacing w:before="120" w:after="0"/>
                              <w:rPr>
                                <w:b/>
                              </w:rPr>
                            </w:pPr>
                            <w:r w:rsidRPr="002D3937">
                              <w:rPr>
                                <w:b/>
                              </w:rPr>
                              <w:t xml:space="preserve">Toddler and preschool years (2-5 years old) </w:t>
                            </w:r>
                          </w:p>
                          <w:p w:rsidR="00440ED2" w:rsidRPr="00D10823" w:rsidRDefault="00440ED2" w:rsidP="00440ED2">
                            <w:pPr>
                              <w:spacing w:before="12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D10823">
                              <w:rPr>
                                <w:sz w:val="20"/>
                              </w:rPr>
                              <w:t>Keeping the line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D10823">
                              <w:rPr>
                                <w:sz w:val="20"/>
                              </w:rPr>
                              <w:t xml:space="preserve"> of communication open with your children – regardless of their age – will help you have open and honest discussion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D10823">
                              <w:rPr>
                                <w:sz w:val="20"/>
                              </w:rPr>
                              <w:t xml:space="preserve"> about sexuality.  Take some time to understand your own values, feelings and beliefs.  Remember, children learn by observation, so how you express yourself non-verbally is just as important as what you say to them.</w:t>
                            </w:r>
                          </w:p>
                          <w:p w:rsidR="00440ED2" w:rsidRPr="007E1F1C" w:rsidRDefault="00440ED2" w:rsidP="00440ED2">
                            <w:pPr>
                              <w:pStyle w:val="Heading1"/>
                              <w:rPr>
                                <w:rFonts w:eastAsia="Times New Roman"/>
                              </w:rPr>
                            </w:pPr>
                            <w:r w:rsidRPr="007E1F1C">
                              <w:rPr>
                                <w:rFonts w:eastAsia="Times New Roman"/>
                              </w:rPr>
                              <w:t>Healthy Behavior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Develop language to describe genitalia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Should clearly know difference between males and females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May know basics of human reproduction (e.g., babies grow inside mother’s tummy)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May touch themselves or appear to be masturbating; usually used as self-soothing technique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Often engage in consensual genital exploration with same age peers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May show curiosity about adult genitalia (e.g., may try to see Mommy nude)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No inhibitions about nudity</w:t>
                            </w:r>
                          </w:p>
                          <w:p w:rsidR="00440ED2" w:rsidRPr="007E1F1C" w:rsidRDefault="00440ED2" w:rsidP="00440ED2">
                            <w:pPr>
                              <w:pStyle w:val="Heading1"/>
                              <w:rPr>
                                <w:rFonts w:eastAsia="Times New Roman"/>
                              </w:rPr>
                            </w:pPr>
                            <w:r w:rsidRPr="007E1F1C">
                              <w:rPr>
                                <w:rFonts w:eastAsia="Times New Roman"/>
                              </w:rPr>
                              <w:t>Tips for Facilitating Healthy Sexual Development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Encouraging child to use correct terminology to describe their body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Teaching child the difference between comfortable/appropriate touch and uncomfortable/unacceptable touch; avoid "good touch/bad touch" as an example as children at this age can associate touching of the genitals as something that feels good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Teach children that they have your permission to say NO to unwanted or uncomfortable touch. Make their “NO” mean something.</w:t>
                            </w:r>
                            <w:r w:rsidRPr="002D3937"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r>
                              <w:rPr>
                                <w:rFonts w:eastAsia="Times New Roman"/>
                              </w:rPr>
                              <w:t>i.</w:t>
                            </w:r>
                            <w:r w:rsidRPr="002D3937">
                              <w:rPr>
                                <w:rFonts w:eastAsia="Times New Roman"/>
                              </w:rPr>
                              <w:t>e. no forced hugs or kisses, no wrestling if child protests)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Modeling the importance of privacy during bathing and toileting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Giving child permission to be private about his/her own nudity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>Using everyday opportunities to teach child fundamentals of sexuality (e.g., if child asks questions about sex, give simple and direct answers</w:t>
                            </w:r>
                          </w:p>
                          <w:p w:rsidR="00440ED2" w:rsidRPr="002D3937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Teach children that touching oneself is part of healthy sexual development, but should be done in private</w:t>
                            </w:r>
                          </w:p>
                          <w:p w:rsidR="00440ED2" w:rsidRDefault="00440ED2" w:rsidP="00440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2D3937">
                              <w:rPr>
                                <w:rFonts w:eastAsia="Times New Roman"/>
                              </w:rPr>
                              <w:t xml:space="preserve">Teaching child to respect other people’s boundaries and privacy </w:t>
                            </w:r>
                          </w:p>
                          <w:p w:rsidR="00CF7516" w:rsidRPr="00CF7516" w:rsidRDefault="00CF7516" w:rsidP="0091641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.05pt;margin-top:135.2pt;width:531pt;height:4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" filled="f" stroked="f">
                <v:path arrowok="t"/>
                <v:textbox>
                  <w:txbxContent>
                    <w:p w:rsidR="00440ED2" w:rsidRPr="00D10823" w:rsidRDefault="00440ED2" w:rsidP="00440ED2">
                      <w:pPr>
                        <w:pStyle w:val="Title"/>
                        <w:spacing w:before="0"/>
                        <w:rPr>
                          <w:sz w:val="44"/>
                          <w:szCs w:val="44"/>
                        </w:rPr>
                      </w:pPr>
                      <w:r w:rsidRPr="00D10823">
                        <w:rPr>
                          <w:sz w:val="44"/>
                          <w:szCs w:val="44"/>
                        </w:rPr>
                        <w:t>How to talk to children about healthy sexual development</w:t>
                      </w:r>
                    </w:p>
                    <w:p w:rsidR="00440ED2" w:rsidRPr="002D3937" w:rsidRDefault="00440ED2" w:rsidP="00440ED2">
                      <w:pPr>
                        <w:pStyle w:val="Subtitle"/>
                        <w:spacing w:before="120" w:after="0"/>
                        <w:rPr>
                          <w:b/>
                        </w:rPr>
                      </w:pPr>
                      <w:r w:rsidRPr="002D3937">
                        <w:rPr>
                          <w:b/>
                        </w:rPr>
                        <w:t xml:space="preserve">Toddler and preschool years (2-5 years old) </w:t>
                      </w:r>
                    </w:p>
                    <w:p w:rsidR="00440ED2" w:rsidRPr="00D10823" w:rsidRDefault="00440ED2" w:rsidP="00440ED2">
                      <w:pPr>
                        <w:spacing w:before="12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D10823">
                        <w:rPr>
                          <w:sz w:val="20"/>
                        </w:rPr>
                        <w:t>Keeping the line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D10823">
                        <w:rPr>
                          <w:sz w:val="20"/>
                        </w:rPr>
                        <w:t xml:space="preserve"> of communication open with your children – regardless of their age – will help you have open and honest discussion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D10823">
                        <w:rPr>
                          <w:sz w:val="20"/>
                        </w:rPr>
                        <w:t xml:space="preserve"> about sexuality.  Take some time to understand your own values, feelings and beliefs.  Remember, children learn by observation, so how you express yourself non-verbally is just as important as what you say to them.</w:t>
                      </w:r>
                    </w:p>
                    <w:p w:rsidR="00440ED2" w:rsidRPr="007E1F1C" w:rsidRDefault="00440ED2" w:rsidP="00440ED2">
                      <w:pPr>
                        <w:pStyle w:val="Heading1"/>
                        <w:rPr>
                          <w:rFonts w:eastAsia="Times New Roman"/>
                        </w:rPr>
                      </w:pPr>
                      <w:r w:rsidRPr="007E1F1C">
                        <w:rPr>
                          <w:rFonts w:eastAsia="Times New Roman"/>
                        </w:rPr>
                        <w:t>Healthy Behavior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Develop language to describe genitalia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Should clearly know difference between males and females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May know basics of human reproduction (e.g., babies grow inside mother’s tummy)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May touch themselves or appear to be masturbating; usually used as self-soothing technique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Often engage in consensual genital exploration with same age peers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May show curiosity about adult genitalia (e.g., may try to see Mommy nude)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No inhibitions about nudity</w:t>
                      </w:r>
                    </w:p>
                    <w:p w:rsidR="00440ED2" w:rsidRPr="007E1F1C" w:rsidRDefault="00440ED2" w:rsidP="00440ED2">
                      <w:pPr>
                        <w:pStyle w:val="Heading1"/>
                        <w:rPr>
                          <w:rFonts w:eastAsia="Times New Roman"/>
                        </w:rPr>
                      </w:pPr>
                      <w:r w:rsidRPr="007E1F1C">
                        <w:rPr>
                          <w:rFonts w:eastAsia="Times New Roman"/>
                        </w:rPr>
                        <w:t>Tips for Facilitating Healthy Sexual Development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Encouraging child to use correct terminology to describe their body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Teaching child the difference between comfortable/appropriate touch and uncomfortable/unacceptable touch; avoid "good touch/bad touch" as an example as children at this age can associate touching of the genitals as something that feels good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Teach children that they have your permission to say NO to unwanted or uncomfortable touch. Make their “NO” mean something.</w:t>
                      </w:r>
                      <w:r w:rsidRPr="002D3937">
                        <w:rPr>
                          <w:rFonts w:eastAsia="Times New Roman"/>
                        </w:rPr>
                        <w:t xml:space="preserve"> (</w:t>
                      </w:r>
                      <w:r>
                        <w:rPr>
                          <w:rFonts w:eastAsia="Times New Roman"/>
                        </w:rPr>
                        <w:t>i.</w:t>
                      </w:r>
                      <w:r w:rsidRPr="002D3937">
                        <w:rPr>
                          <w:rFonts w:eastAsia="Times New Roman"/>
                        </w:rPr>
                        <w:t>e. no forced hugs or kisses, no wrestling if child protests)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Modeling the importance of privacy during bathing and toileting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Giving child permission to be private about his/her own nudity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>Using everyday opportunities to teach child fundamentals of sexuality (e.g., if child asks questions about sex, give simple and direct answers</w:t>
                      </w:r>
                    </w:p>
                    <w:p w:rsidR="00440ED2" w:rsidRPr="002D3937" w:rsidRDefault="00440ED2" w:rsidP="00440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Teach children that touching oneself is part of healthy sexual development, but should be done in private</w:t>
                      </w:r>
                    </w:p>
                    <w:p w:rsidR="00440ED2" w:rsidRDefault="00440ED2" w:rsidP="00440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2D3937">
                        <w:rPr>
                          <w:rFonts w:eastAsia="Times New Roman"/>
                        </w:rPr>
                        <w:t xml:space="preserve">Teaching child to respect other people’s boundaries and privacy </w:t>
                      </w:r>
                    </w:p>
                    <w:p w:rsidR="00CF7516" w:rsidRPr="00CF7516" w:rsidRDefault="00CF7516" w:rsidP="0091641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8E1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6E527B85" wp14:editId="6D5992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F55E7" w:rsidRPr="00B57DEF" w:rsidSect="00CF751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21CE"/>
    <w:multiLevelType w:val="hybridMultilevel"/>
    <w:tmpl w:val="0D42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80C71"/>
    <w:multiLevelType w:val="hybridMultilevel"/>
    <w:tmpl w:val="ECA4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F6091"/>
    <w:multiLevelType w:val="hybridMultilevel"/>
    <w:tmpl w:val="C016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347A5"/>
    <w:multiLevelType w:val="hybridMultilevel"/>
    <w:tmpl w:val="6EEC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16"/>
    <w:rsid w:val="001C1D4B"/>
    <w:rsid w:val="00297A13"/>
    <w:rsid w:val="002C1748"/>
    <w:rsid w:val="002F55E7"/>
    <w:rsid w:val="0031440A"/>
    <w:rsid w:val="00440ED2"/>
    <w:rsid w:val="006E6594"/>
    <w:rsid w:val="007E329F"/>
    <w:rsid w:val="00916412"/>
    <w:rsid w:val="00997B18"/>
    <w:rsid w:val="00A258E1"/>
    <w:rsid w:val="00B02AF0"/>
    <w:rsid w:val="00B57DEF"/>
    <w:rsid w:val="00CF7516"/>
    <w:rsid w:val="00D3154F"/>
    <w:rsid w:val="00D46A5A"/>
    <w:rsid w:val="00D75687"/>
    <w:rsid w:val="00F6226C"/>
    <w:rsid w:val="00FA2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5:docId w15:val="{0F782DC4-CAF5-4785-BE3A-4EAB2B29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4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A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b/>
      <w:bCs/>
      <w:caps/>
      <w:color w:val="FFFFFF" w:themeColor="background1"/>
      <w:spacing w:val="15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1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6A5A"/>
    <w:rPr>
      <w:b/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46A5A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46A5A"/>
    <w:rPr>
      <w:caps/>
      <w:color w:val="4F81BD" w:themeColor="accent1"/>
      <w:spacing w:val="10"/>
      <w:kern w:val="28"/>
      <w:sz w:val="52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A5A"/>
    <w:pPr>
      <w:spacing w:before="200" w:after="1000"/>
    </w:pPr>
    <w:rPr>
      <w:caps/>
      <w:color w:val="595959" w:themeColor="text1" w:themeTint="A6"/>
      <w:spacing w:val="10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46A5A"/>
    <w:rPr>
      <w:caps/>
      <w:color w:val="595959" w:themeColor="text1" w:themeTint="A6"/>
      <w:spacing w:val="10"/>
      <w:sz w:val="24"/>
      <w:szCs w:val="24"/>
      <w:lang w:eastAsia="en-US" w:bidi="en-US"/>
    </w:rPr>
  </w:style>
  <w:style w:type="paragraph" w:styleId="ListParagraph">
    <w:name w:val="List Paragraph"/>
    <w:basedOn w:val="Normal"/>
    <w:uiPriority w:val="34"/>
    <w:qFormat/>
    <w:rsid w:val="00D46A5A"/>
    <w:pPr>
      <w:spacing w:before="200" w:after="200" w:line="276" w:lineRule="auto"/>
      <w:ind w:left="720"/>
      <w:contextualSpacing/>
    </w:pPr>
    <w:rPr>
      <w:sz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B33276-69CE-43EA-A539-EE7434EB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Children's Hospital &amp; Health System</dc:creator>
  <cp:lastModifiedBy>Strehlow, Abby</cp:lastModifiedBy>
  <cp:revision>2</cp:revision>
  <dcterms:created xsi:type="dcterms:W3CDTF">2017-10-24T15:16:00Z</dcterms:created>
  <dcterms:modified xsi:type="dcterms:W3CDTF">2017-10-24T15:16:00Z</dcterms:modified>
</cp:coreProperties>
</file>